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4BC8E" w14:textId="2275036B" w:rsidR="00156A1A" w:rsidRPr="007728E8" w:rsidRDefault="003568B6" w:rsidP="00156A1A">
      <w:pPr>
        <w:pStyle w:val="CRCoverPage"/>
        <w:tabs>
          <w:tab w:val="right" w:pos="9639"/>
        </w:tabs>
        <w:spacing w:after="0"/>
        <w:rPr>
          <w:b/>
          <w:i/>
          <w:noProof/>
          <w:sz w:val="28"/>
        </w:rPr>
      </w:pPr>
      <w:bookmarkStart w:id="0" w:name="_GoBack"/>
      <w:bookmarkEnd w:id="0"/>
      <w:r>
        <w:rPr>
          <w:b/>
          <w:noProof/>
          <w:sz w:val="24"/>
        </w:rPr>
        <w:t>3GPP TSG-RAN2#</w:t>
      </w:r>
      <w:r w:rsidR="00A458A9">
        <w:rPr>
          <w:b/>
          <w:noProof/>
          <w:sz w:val="24"/>
        </w:rPr>
        <w:t>9</w:t>
      </w:r>
      <w:r w:rsidR="00702293">
        <w:rPr>
          <w:b/>
          <w:noProof/>
          <w:sz w:val="24"/>
        </w:rPr>
        <w:t>5</w:t>
      </w:r>
      <w:r w:rsidR="00561ACD">
        <w:rPr>
          <w:b/>
          <w:noProof/>
          <w:sz w:val="24"/>
        </w:rPr>
        <w:t>BIS</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C04C0F">
        <w:rPr>
          <w:b/>
          <w:noProof/>
          <w:sz w:val="28"/>
        </w:rPr>
        <w:t>6996</w:t>
      </w:r>
    </w:p>
    <w:p w14:paraId="349245DD" w14:textId="77777777" w:rsidR="00156A1A" w:rsidRDefault="00561ACD" w:rsidP="00156A1A">
      <w:pPr>
        <w:pStyle w:val="CRCoverPage"/>
        <w:rPr>
          <w:b/>
          <w:noProof/>
          <w:sz w:val="24"/>
        </w:rPr>
      </w:pPr>
      <w:r>
        <w:rPr>
          <w:b/>
          <w:sz w:val="24"/>
          <w:szCs w:val="24"/>
        </w:rPr>
        <w:t>Kaohsiung</w:t>
      </w:r>
      <w:r w:rsidR="002C600F">
        <w:rPr>
          <w:b/>
          <w:sz w:val="24"/>
          <w:szCs w:val="24"/>
        </w:rPr>
        <w:t xml:space="preserve">, </w:t>
      </w:r>
      <w:r>
        <w:rPr>
          <w:b/>
          <w:sz w:val="24"/>
          <w:szCs w:val="24"/>
        </w:rPr>
        <w:t>Taiwan</w:t>
      </w:r>
      <w:r w:rsidR="000B4201">
        <w:rPr>
          <w:b/>
          <w:sz w:val="24"/>
          <w:szCs w:val="24"/>
        </w:rPr>
        <w:t xml:space="preserve">, </w:t>
      </w:r>
      <w:r>
        <w:rPr>
          <w:b/>
          <w:sz w:val="24"/>
          <w:szCs w:val="24"/>
        </w:rPr>
        <w:t>10</w:t>
      </w:r>
      <w:r w:rsidR="000B4201">
        <w:rPr>
          <w:b/>
          <w:sz w:val="24"/>
          <w:szCs w:val="24"/>
        </w:rPr>
        <w:t xml:space="preserve"> - </w:t>
      </w:r>
      <w:r>
        <w:rPr>
          <w:b/>
          <w:sz w:val="24"/>
          <w:szCs w:val="24"/>
        </w:rPr>
        <w:t>14</w:t>
      </w:r>
      <w:r w:rsidR="000B4201">
        <w:rPr>
          <w:b/>
          <w:sz w:val="24"/>
          <w:szCs w:val="24"/>
        </w:rPr>
        <w:t xml:space="preserve"> </w:t>
      </w:r>
      <w:r>
        <w:rPr>
          <w:b/>
          <w:sz w:val="24"/>
          <w:szCs w:val="24"/>
        </w:rPr>
        <w:t>October</w:t>
      </w:r>
      <w:r w:rsidR="002C600F" w:rsidRPr="009E4773">
        <w:rPr>
          <w:b/>
          <w:sz w:val="24"/>
          <w:szCs w:val="24"/>
        </w:rPr>
        <w:t xml:space="preserve"> </w:t>
      </w:r>
      <w:r w:rsidR="00D368AF">
        <w:rPr>
          <w:b/>
          <w:sz w:val="24"/>
          <w:szCs w:val="24"/>
        </w:rPr>
        <w:t>2016</w:t>
      </w:r>
    </w:p>
    <w:p w14:paraId="6A8F048D" w14:textId="68E09AD7" w:rsidR="00156A1A" w:rsidRPr="009A6513" w:rsidRDefault="001B28F8" w:rsidP="0000505D">
      <w:pPr>
        <w:pStyle w:val="CRCoverPage"/>
        <w:ind w:left="1988" w:hanging="1988"/>
        <w:rPr>
          <w:b/>
          <w:noProof/>
          <w:sz w:val="24"/>
        </w:rPr>
      </w:pPr>
      <w:r>
        <w:rPr>
          <w:b/>
          <w:noProof/>
          <w:sz w:val="24"/>
        </w:rPr>
        <w:t>Agenda Item:</w:t>
      </w:r>
      <w:r>
        <w:rPr>
          <w:b/>
          <w:noProof/>
          <w:sz w:val="24"/>
        </w:rPr>
        <w:tab/>
      </w:r>
      <w:r w:rsidR="00AF58DD">
        <w:rPr>
          <w:b/>
          <w:noProof/>
          <w:sz w:val="24"/>
        </w:rPr>
        <w:t>9.2.1</w:t>
      </w:r>
      <w:r w:rsidR="00710B55">
        <w:rPr>
          <w:b/>
          <w:noProof/>
          <w:sz w:val="24"/>
        </w:rPr>
        <w:t>.2</w:t>
      </w:r>
    </w:p>
    <w:p w14:paraId="0BAE8A30"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1F81BAB" w14:textId="4B4F1569"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710B55">
        <w:rPr>
          <w:b/>
          <w:noProof/>
          <w:sz w:val="24"/>
        </w:rPr>
        <w:t xml:space="preserve">On </w:t>
      </w:r>
      <w:r w:rsidR="009A6E46">
        <w:rPr>
          <w:b/>
          <w:noProof/>
          <w:sz w:val="24"/>
        </w:rPr>
        <w:t>QoS for NR</w:t>
      </w:r>
    </w:p>
    <w:bookmarkEnd w:id="1"/>
    <w:bookmarkEnd w:id="2"/>
    <w:p w14:paraId="664A4CDB"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4E322F3" w14:textId="48DA1D65" w:rsidR="00377921" w:rsidRPr="00710B55" w:rsidRDefault="003C1CA3" w:rsidP="00710B55">
      <w:pPr>
        <w:pStyle w:val="Heading1"/>
        <w:rPr>
          <w:rFonts w:eastAsia="MS Mincho"/>
          <w:sz w:val="20"/>
          <w:szCs w:val="24"/>
        </w:rPr>
      </w:pPr>
      <w:r>
        <w:rPr>
          <w:lang w:val="en-US" w:eastAsia="ko-KR"/>
        </w:rPr>
        <w:t xml:space="preserve">1 </w:t>
      </w:r>
      <w:r w:rsidR="00156A1A" w:rsidRPr="009D35B3">
        <w:rPr>
          <w:lang w:val="en-US" w:eastAsia="ko-KR"/>
        </w:rPr>
        <w:t>Introduction</w:t>
      </w:r>
    </w:p>
    <w:p w14:paraId="6F4C28F3" w14:textId="018D8A44" w:rsidR="00494FD0" w:rsidRDefault="00710B55" w:rsidP="00412526">
      <w:pPr>
        <w:pStyle w:val="Doc-text2"/>
        <w:tabs>
          <w:tab w:val="left" w:pos="340"/>
        </w:tabs>
        <w:ind w:left="0" w:firstLine="0"/>
        <w:jc w:val="both"/>
      </w:pPr>
      <w:r>
        <w:t xml:space="preserve">In RAN2#95, several issues related to QoS </w:t>
      </w:r>
      <w:r w:rsidR="00494FD0">
        <w:t>were discussed and the following agreements were reached.</w:t>
      </w:r>
    </w:p>
    <w:p w14:paraId="27B368D8" w14:textId="77777777" w:rsidR="00494FD0" w:rsidRDefault="00494FD0" w:rsidP="00494FD0">
      <w:pPr>
        <w:pStyle w:val="Doc-text2"/>
      </w:pPr>
    </w:p>
    <w:p w14:paraId="28C9FEF6" w14:textId="77777777" w:rsidR="00494FD0" w:rsidRDefault="00494FD0" w:rsidP="00494FD0">
      <w:pPr>
        <w:pStyle w:val="Doc-text2"/>
        <w:pBdr>
          <w:top w:val="single" w:sz="4" w:space="1" w:color="auto"/>
          <w:left w:val="single" w:sz="4" w:space="4" w:color="auto"/>
          <w:bottom w:val="single" w:sz="4" w:space="1" w:color="auto"/>
          <w:right w:val="single" w:sz="4" w:space="4" w:color="auto"/>
        </w:pBdr>
      </w:pPr>
      <w:r>
        <w:t>Agreements</w:t>
      </w:r>
    </w:p>
    <w:p w14:paraId="6846EAB2" w14:textId="77777777" w:rsidR="00494FD0" w:rsidRDefault="00494FD0" w:rsidP="00494FD0">
      <w:pPr>
        <w:pStyle w:val="Doc-text2"/>
        <w:pBdr>
          <w:top w:val="single" w:sz="4" w:space="1" w:color="auto"/>
          <w:left w:val="single" w:sz="4" w:space="4" w:color="auto"/>
          <w:bottom w:val="single" w:sz="4" w:space="1" w:color="auto"/>
          <w:right w:val="single" w:sz="4" w:space="4" w:color="auto"/>
        </w:pBdr>
      </w:pPr>
      <w:r>
        <w:t>1</w:t>
      </w:r>
      <w:r>
        <w:tab/>
        <w:t xml:space="preserve">For DL for a non-GBR flow, the eNB sees an indication over NG-u and based on the indication the eNB maps the packet to a DRB of an appropriate QoS. </w:t>
      </w:r>
    </w:p>
    <w:p w14:paraId="03A6ABE0" w14:textId="77777777" w:rsidR="00494FD0" w:rsidRDefault="00494FD0" w:rsidP="00494FD0">
      <w:pPr>
        <w:pStyle w:val="Doc-text2"/>
        <w:pBdr>
          <w:top w:val="single" w:sz="4" w:space="1" w:color="auto"/>
          <w:left w:val="single" w:sz="4" w:space="4" w:color="auto"/>
          <w:bottom w:val="single" w:sz="4" w:space="1" w:color="auto"/>
          <w:right w:val="single" w:sz="4" w:space="4" w:color="auto"/>
        </w:pBdr>
      </w:pPr>
      <w:r>
        <w:t>RAN2 understanding of SA2 agreements is that eNB has a QoS profile associated with the indication.</w:t>
      </w:r>
    </w:p>
    <w:p w14:paraId="2C1C517F" w14:textId="77777777" w:rsidR="00494FD0" w:rsidRDefault="00494FD0" w:rsidP="00494FD0">
      <w:pPr>
        <w:pStyle w:val="Doc-text2"/>
        <w:pBdr>
          <w:top w:val="single" w:sz="4" w:space="1" w:color="auto"/>
          <w:left w:val="single" w:sz="4" w:space="4" w:color="auto"/>
          <w:bottom w:val="single" w:sz="4" w:space="1" w:color="auto"/>
          <w:right w:val="single" w:sz="4" w:space="4" w:color="auto"/>
        </w:pBdr>
      </w:pPr>
      <w:r>
        <w:t>FFS whether there is a requirement for every different QoS indication to be mapped to a different radio bearer.</w:t>
      </w:r>
    </w:p>
    <w:p w14:paraId="556F338D" w14:textId="77777777" w:rsidR="00494FD0" w:rsidRDefault="00494FD0" w:rsidP="00494FD0">
      <w:pPr>
        <w:pStyle w:val="Doc-text2"/>
        <w:pBdr>
          <w:top w:val="single" w:sz="4" w:space="1" w:color="auto"/>
          <w:left w:val="single" w:sz="4" w:space="4" w:color="auto"/>
          <w:bottom w:val="single" w:sz="4" w:space="1" w:color="auto"/>
          <w:right w:val="single" w:sz="4" w:space="4" w:color="auto"/>
        </w:pBdr>
      </w:pPr>
      <w:r>
        <w:t>2</w:t>
      </w:r>
      <w:r>
        <w:tab/>
        <w:t>Functionality is required to differentiate flows from different PDN-connections over the radio interface (e.g. by using separate DRBs or by an explicit indication in a header)</w:t>
      </w:r>
    </w:p>
    <w:p w14:paraId="26198DD4" w14:textId="77777777" w:rsidR="00494FD0" w:rsidRDefault="00494FD0" w:rsidP="00494FD0">
      <w:pPr>
        <w:pStyle w:val="Doc-text2"/>
        <w:pBdr>
          <w:top w:val="single" w:sz="4" w:space="1" w:color="auto"/>
          <w:left w:val="single" w:sz="4" w:space="4" w:color="auto"/>
          <w:bottom w:val="single" w:sz="4" w:space="1" w:color="auto"/>
          <w:right w:val="single" w:sz="4" w:space="4" w:color="auto"/>
        </w:pBdr>
      </w:pPr>
      <w:r>
        <w:t>3</w:t>
      </w:r>
      <w:r>
        <w:tab/>
        <w:t>For DL, the eNB establishes DRBs for the UE taking the QoS profiles in to account.</w:t>
      </w:r>
    </w:p>
    <w:p w14:paraId="3D62BD2E" w14:textId="77777777" w:rsidR="00494FD0" w:rsidRDefault="00494FD0" w:rsidP="00494FD0">
      <w:pPr>
        <w:pStyle w:val="Doc-text2"/>
        <w:pBdr>
          <w:top w:val="single" w:sz="4" w:space="1" w:color="auto"/>
          <w:left w:val="single" w:sz="4" w:space="4" w:color="auto"/>
          <w:bottom w:val="single" w:sz="4" w:space="1" w:color="auto"/>
          <w:right w:val="single" w:sz="4" w:space="4" w:color="auto"/>
        </w:pBdr>
      </w:pPr>
      <w:r>
        <w:t>FFS how the DRB is established in the first packet is an UL packet.</w:t>
      </w:r>
    </w:p>
    <w:p w14:paraId="087B3BD8" w14:textId="4B7BA5B0" w:rsidR="00DF5C33" w:rsidRDefault="00DF5C33" w:rsidP="00494FD0">
      <w:pPr>
        <w:pStyle w:val="Doc-text2"/>
        <w:pBdr>
          <w:top w:val="single" w:sz="4" w:space="1" w:color="auto"/>
          <w:left w:val="single" w:sz="4" w:space="4" w:color="auto"/>
          <w:bottom w:val="single" w:sz="4" w:space="1" w:color="auto"/>
          <w:right w:val="single" w:sz="4" w:space="4" w:color="auto"/>
        </w:pBdr>
      </w:pPr>
      <w:r>
        <w:t>FFS whether there is a requirement for GBR flows and non-GBR flows to be mapped to different DRBs.</w:t>
      </w:r>
    </w:p>
    <w:p w14:paraId="61903CFB" w14:textId="77777777" w:rsidR="00DF5C33" w:rsidRDefault="00DF5C33" w:rsidP="00412526">
      <w:pPr>
        <w:pStyle w:val="Doc-text2"/>
        <w:tabs>
          <w:tab w:val="left" w:pos="340"/>
        </w:tabs>
        <w:ind w:left="0" w:firstLine="0"/>
        <w:jc w:val="both"/>
      </w:pPr>
    </w:p>
    <w:p w14:paraId="67DB66A3" w14:textId="53D1D12D" w:rsidR="003C623A" w:rsidRPr="007276DD" w:rsidRDefault="00377921" w:rsidP="00412526">
      <w:pPr>
        <w:pStyle w:val="Doc-text2"/>
        <w:tabs>
          <w:tab w:val="left" w:pos="340"/>
        </w:tabs>
        <w:ind w:left="0" w:firstLine="0"/>
        <w:jc w:val="both"/>
      </w:pPr>
      <w:r>
        <w:t xml:space="preserve">In this document, we </w:t>
      </w:r>
      <w:r w:rsidR="00494FD0">
        <w:t>discuss how RAN may provide QoS for NR and address some of those topics above that were marked as FFS.</w:t>
      </w:r>
      <w:r>
        <w:t xml:space="preserve"> </w:t>
      </w:r>
    </w:p>
    <w:p w14:paraId="7461104C" w14:textId="77777777" w:rsidR="0042773E" w:rsidRDefault="00972E3C" w:rsidP="00494271">
      <w:pPr>
        <w:pStyle w:val="Heading1"/>
        <w:rPr>
          <w:lang w:val="en-US" w:eastAsia="ko-KR"/>
        </w:rPr>
      </w:pPr>
      <w:r>
        <w:rPr>
          <w:lang w:val="en-US" w:eastAsia="ko-KR"/>
        </w:rPr>
        <w:t xml:space="preserve">2 </w:t>
      </w:r>
      <w:r w:rsidR="00114BBE">
        <w:rPr>
          <w:lang w:val="en-US" w:eastAsia="ko-KR"/>
        </w:rPr>
        <w:t>Discussion</w:t>
      </w:r>
    </w:p>
    <w:p w14:paraId="6B99D91F" w14:textId="5DB01654" w:rsidR="006A49FF" w:rsidRDefault="006A49FF" w:rsidP="006A49FF">
      <w:pPr>
        <w:pStyle w:val="Doc-text2"/>
        <w:tabs>
          <w:tab w:val="left" w:pos="340"/>
        </w:tabs>
        <w:ind w:left="0" w:firstLine="0"/>
        <w:jc w:val="both"/>
        <w:rPr>
          <w:color w:val="FF0000"/>
        </w:rPr>
      </w:pPr>
      <w:r>
        <w:t xml:space="preserve">The concept of data radio bearers (DRBs) has been used in LTE and UMTS to successfully provide differentiated service for many years. This connection oriented model has stood the test of time and </w:t>
      </w:r>
      <w:r w:rsidR="00EB43D9">
        <w:t>has been agreed</w:t>
      </w:r>
      <w:r>
        <w:t xml:space="preserve"> be used as a baseline </w:t>
      </w:r>
      <w:proofErr w:type="gramStart"/>
      <w:r>
        <w:t>for</w:t>
      </w:r>
      <w:proofErr w:type="gramEnd"/>
      <w:r>
        <w:t xml:space="preserve"> NR UP.</w:t>
      </w:r>
    </w:p>
    <w:p w14:paraId="082B66FD" w14:textId="77777777" w:rsidR="006A49FF" w:rsidRDefault="006A49FF" w:rsidP="006A49FF">
      <w:pPr>
        <w:pStyle w:val="Doc-text2"/>
        <w:tabs>
          <w:tab w:val="left" w:pos="340"/>
        </w:tabs>
        <w:ind w:left="0" w:firstLine="0"/>
        <w:jc w:val="both"/>
        <w:rPr>
          <w:color w:val="FF0000"/>
        </w:rPr>
      </w:pPr>
    </w:p>
    <w:p w14:paraId="2BC0FADA" w14:textId="0ED77EEB" w:rsidR="00671B7E" w:rsidRPr="00A92D2C" w:rsidRDefault="00A92D2C" w:rsidP="00245EB8">
      <w:pPr>
        <w:pStyle w:val="Doc-text2"/>
        <w:tabs>
          <w:tab w:val="left" w:pos="340"/>
        </w:tabs>
        <w:ind w:left="0" w:firstLine="0"/>
        <w:jc w:val="both"/>
      </w:pPr>
      <w:r>
        <w:t xml:space="preserve">In RAN2#94, it was agreed that the concept of DRB is used to define the over-the-air treatment rendered to packets, and that a separate DRB is defined for each different “packet forwarding treatment required”. </w:t>
      </w:r>
      <w:r w:rsidR="00671B7E">
        <w:t xml:space="preserve">SA2 </w:t>
      </w:r>
      <w:r>
        <w:fldChar w:fldCharType="begin"/>
      </w:r>
      <w:r>
        <w:instrText xml:space="preserve"> REF _Ref462847283 \r \h </w:instrText>
      </w:r>
      <w:r>
        <w:fldChar w:fldCharType="separate"/>
      </w:r>
      <w:r w:rsidR="00A96024">
        <w:t>[1]</w:t>
      </w:r>
      <w:r>
        <w:fldChar w:fldCharType="end"/>
      </w:r>
      <w:r>
        <w:t xml:space="preserve"> </w:t>
      </w:r>
      <w:r w:rsidR="00671B7E">
        <w:t>has agreed that U-plane marking for QoS will be carried in encapsulation header on NG3</w:t>
      </w:r>
      <w:r>
        <w:t>, and that “i</w:t>
      </w:r>
      <w:r w:rsidRPr="009643BC">
        <w:t xml:space="preserve">n the downlink the (R)AN binds </w:t>
      </w:r>
      <w:r w:rsidR="008C00FA">
        <w:t xml:space="preserve">QoS Flows onto access-specific </w:t>
      </w:r>
      <w:r w:rsidRPr="009643BC">
        <w:t>resources based on the NG3 marking and the corresponding QoS characterist</w:t>
      </w:r>
      <w:r>
        <w:t>ics provided via NG2 signalling”</w:t>
      </w:r>
      <w:r w:rsidR="00671B7E">
        <w:t>. Since RAN provides QoS differentiation at the level of DRBs, it makes sense to group data flows with similar QoS profiles to the same DRB.</w:t>
      </w:r>
    </w:p>
    <w:p w14:paraId="11A031A8" w14:textId="77777777" w:rsidR="00671B7E" w:rsidRDefault="00671B7E" w:rsidP="00245EB8">
      <w:pPr>
        <w:pStyle w:val="Doc-text2"/>
        <w:tabs>
          <w:tab w:val="left" w:pos="340"/>
        </w:tabs>
        <w:ind w:left="0" w:firstLine="0"/>
        <w:jc w:val="both"/>
        <w:rPr>
          <w:b/>
        </w:rPr>
      </w:pPr>
    </w:p>
    <w:p w14:paraId="42CB123E" w14:textId="004AAA7F" w:rsidR="00671B7E" w:rsidRPr="00245EB8" w:rsidRDefault="00A92D2C" w:rsidP="00671B7E">
      <w:pPr>
        <w:pStyle w:val="Doc-text2"/>
        <w:tabs>
          <w:tab w:val="left" w:pos="340"/>
        </w:tabs>
        <w:ind w:left="0" w:firstLine="0"/>
        <w:jc w:val="both"/>
        <w:rPr>
          <w:b/>
        </w:rPr>
      </w:pPr>
      <w:r>
        <w:rPr>
          <w:b/>
        </w:rPr>
        <w:t>Proposal 1</w:t>
      </w:r>
      <w:r w:rsidR="00671B7E">
        <w:rPr>
          <w:b/>
        </w:rPr>
        <w:t>: Data f</w:t>
      </w:r>
      <w:r w:rsidR="00671B7E" w:rsidRPr="00245EB8">
        <w:rPr>
          <w:b/>
        </w:rPr>
        <w:t>lows with similar QoS requirements are mapped to the same DRB.</w:t>
      </w:r>
    </w:p>
    <w:p w14:paraId="1BBE38E8" w14:textId="77777777" w:rsidR="006A49FF" w:rsidRDefault="006A49FF" w:rsidP="00245EB8">
      <w:pPr>
        <w:pStyle w:val="Doc-text2"/>
        <w:tabs>
          <w:tab w:val="left" w:pos="340"/>
        </w:tabs>
        <w:ind w:left="0" w:firstLine="0"/>
        <w:jc w:val="both"/>
      </w:pPr>
    </w:p>
    <w:p w14:paraId="5C8D7995" w14:textId="1B3E473E" w:rsidR="006A49FF" w:rsidRDefault="006A49FF" w:rsidP="006A49FF">
      <w:pPr>
        <w:pStyle w:val="Doc-text2"/>
        <w:tabs>
          <w:tab w:val="left" w:pos="340"/>
        </w:tabs>
        <w:ind w:left="0" w:firstLine="0"/>
        <w:jc w:val="both"/>
      </w:pPr>
      <w:r>
        <w:t>In RAN2 #95, it was agreed</w:t>
      </w:r>
      <w:r w:rsidRPr="00245EB8">
        <w:t xml:space="preserve"> to differentiate flows from different PDN-connections over the radio interface</w:t>
      </w:r>
      <w:r>
        <w:t xml:space="preserve">. A straight-forward approach that would be consistent with the LTE approach would be to map such flows to different DRBs. We can think of several advantages for such an approach. First, it is likely that </w:t>
      </w:r>
      <w:r w:rsidR="00671B7E">
        <w:t xml:space="preserve">data flows belonging to </w:t>
      </w:r>
      <w:r>
        <w:t>different PDNs/PDU sessions/network slices will have different QoS requirements</w:t>
      </w:r>
      <w:r w:rsidR="00671B7E">
        <w:t xml:space="preserve"> and will need to be mapped to different DRBs. </w:t>
      </w:r>
      <w:r>
        <w:t xml:space="preserve">Second, for tight interworking with LTE, it seems desirable </w:t>
      </w:r>
      <w:r w:rsidR="00671B7E">
        <w:t>to separate</w:t>
      </w:r>
      <w:r>
        <w:t xml:space="preserve"> DRBs </w:t>
      </w:r>
      <w:r w:rsidR="00671B7E">
        <w:t>associated with</w:t>
      </w:r>
      <w:r>
        <w:t xml:space="preserve"> different PDNs to minimize impact to (evolved) LTE protocol stack. </w:t>
      </w:r>
    </w:p>
    <w:p w14:paraId="3A7E2418" w14:textId="77777777" w:rsidR="006A49FF" w:rsidRDefault="006A49FF" w:rsidP="006A49FF">
      <w:pPr>
        <w:pStyle w:val="Doc-text2"/>
        <w:tabs>
          <w:tab w:val="left" w:pos="340"/>
        </w:tabs>
        <w:ind w:left="0" w:firstLine="0"/>
        <w:jc w:val="both"/>
      </w:pPr>
    </w:p>
    <w:p w14:paraId="143B73D4" w14:textId="1A1F90A7" w:rsidR="006A49FF" w:rsidRDefault="006A49FF" w:rsidP="006A49FF">
      <w:pPr>
        <w:pStyle w:val="Doc-text2"/>
        <w:tabs>
          <w:tab w:val="left" w:pos="340"/>
        </w:tabs>
        <w:ind w:left="0" w:firstLine="0"/>
        <w:jc w:val="both"/>
        <w:rPr>
          <w:b/>
        </w:rPr>
      </w:pPr>
      <w:r w:rsidRPr="00245EB8">
        <w:rPr>
          <w:b/>
        </w:rPr>
        <w:t>P</w:t>
      </w:r>
      <w:r w:rsidR="00A92D2C">
        <w:rPr>
          <w:b/>
        </w:rPr>
        <w:t>roposal 2</w:t>
      </w:r>
      <w:r w:rsidRPr="00245EB8">
        <w:rPr>
          <w:b/>
        </w:rPr>
        <w:t xml:space="preserve">: Data from </w:t>
      </w:r>
      <w:r w:rsidR="00AA02B1" w:rsidRPr="00245EB8">
        <w:rPr>
          <w:b/>
        </w:rPr>
        <w:t>different</w:t>
      </w:r>
      <w:r w:rsidRPr="00245EB8">
        <w:rPr>
          <w:b/>
        </w:rPr>
        <w:t xml:space="preserve"> </w:t>
      </w:r>
      <w:r w:rsidR="00550E3D">
        <w:rPr>
          <w:b/>
        </w:rPr>
        <w:t>PDN connections</w:t>
      </w:r>
      <w:r w:rsidRPr="00245EB8">
        <w:rPr>
          <w:b/>
        </w:rPr>
        <w:t xml:space="preserve"> should be assigned </w:t>
      </w:r>
      <w:r>
        <w:rPr>
          <w:b/>
        </w:rPr>
        <w:t xml:space="preserve">to </w:t>
      </w:r>
      <w:r w:rsidRPr="00245EB8">
        <w:rPr>
          <w:b/>
        </w:rPr>
        <w:t>different DRBs</w:t>
      </w:r>
    </w:p>
    <w:p w14:paraId="4E329CDE" w14:textId="77777777" w:rsidR="006A49FF" w:rsidRDefault="006A49FF" w:rsidP="00245EB8">
      <w:pPr>
        <w:pStyle w:val="Doc-text2"/>
        <w:tabs>
          <w:tab w:val="left" w:pos="340"/>
        </w:tabs>
        <w:ind w:left="0" w:firstLine="0"/>
        <w:jc w:val="both"/>
      </w:pPr>
    </w:p>
    <w:p w14:paraId="4ABB3396" w14:textId="2DDFD75C" w:rsidR="00245EB8" w:rsidRDefault="005B5EEE" w:rsidP="00245EB8">
      <w:pPr>
        <w:pStyle w:val="Doc-text2"/>
        <w:tabs>
          <w:tab w:val="left" w:pos="340"/>
        </w:tabs>
        <w:ind w:left="0" w:firstLine="0"/>
        <w:jc w:val="both"/>
      </w:pPr>
      <w:r>
        <w:t xml:space="preserve">However, there are some </w:t>
      </w:r>
      <w:r w:rsidR="00AA02B1">
        <w:t>challenges</w:t>
      </w:r>
      <w:r>
        <w:t xml:space="preserve"> in translating the DRB concept from LTE to NR. While </w:t>
      </w:r>
      <w:r w:rsidR="00245EB8">
        <w:t>SA2 has agreed that U-plane marking for QoS will be carried in en</w:t>
      </w:r>
      <w:r>
        <w:t>capsulation header on NG3,</w:t>
      </w:r>
      <w:r w:rsidR="00245EB8">
        <w:t xml:space="preserve"> the details of how many different QoS levels will be su</w:t>
      </w:r>
      <w:r>
        <w:t>pported has not been agreed yet;</w:t>
      </w:r>
      <w:r w:rsidR="00245EB8">
        <w:t xml:space="preserve"> it seems likely that NR will support at least as many QoS levels as LTE d</w:t>
      </w:r>
      <w:r w:rsidR="00586ADC">
        <w:t xml:space="preserve">oes. Moreover, since QoS is </w:t>
      </w:r>
      <w:r w:rsidR="00245EB8">
        <w:t>provided at the granularity of a data flow rather than an (EPS) be</w:t>
      </w:r>
      <w:r>
        <w:t>arer, UEs may</w:t>
      </w:r>
      <w:r w:rsidR="00245EB8">
        <w:t xml:space="preserve"> need to support much higher number of flows with different QoS requirements than in the case of LTE.</w:t>
      </w:r>
      <w:r w:rsidR="001D4945">
        <w:t xml:space="preserve"> </w:t>
      </w:r>
    </w:p>
    <w:p w14:paraId="0AB6E4A0" w14:textId="77777777" w:rsidR="00245EB8" w:rsidRDefault="00245EB8" w:rsidP="00245EB8">
      <w:pPr>
        <w:pStyle w:val="Doc-text2"/>
        <w:tabs>
          <w:tab w:val="left" w:pos="340"/>
        </w:tabs>
        <w:ind w:left="0" w:firstLine="0"/>
        <w:jc w:val="both"/>
      </w:pPr>
    </w:p>
    <w:p w14:paraId="256D8D84" w14:textId="643B4C31" w:rsidR="00245EB8" w:rsidRPr="00245EB8" w:rsidRDefault="00245EB8" w:rsidP="00245EB8">
      <w:pPr>
        <w:pStyle w:val="Doc-text2"/>
        <w:tabs>
          <w:tab w:val="left" w:pos="340"/>
        </w:tabs>
        <w:ind w:left="0" w:firstLine="0"/>
        <w:jc w:val="both"/>
        <w:rPr>
          <w:b/>
        </w:rPr>
      </w:pPr>
      <w:r w:rsidRPr="00245EB8">
        <w:rPr>
          <w:b/>
        </w:rPr>
        <w:t xml:space="preserve">Observation 1: NR will </w:t>
      </w:r>
      <w:r w:rsidR="005B5EEE">
        <w:rPr>
          <w:b/>
        </w:rPr>
        <w:t xml:space="preserve">likely </w:t>
      </w:r>
      <w:r w:rsidRPr="00245EB8">
        <w:rPr>
          <w:b/>
        </w:rPr>
        <w:t xml:space="preserve">require the UE to </w:t>
      </w:r>
      <w:r w:rsidR="00B458EC">
        <w:rPr>
          <w:b/>
        </w:rPr>
        <w:t xml:space="preserve">simultaneously </w:t>
      </w:r>
      <w:r w:rsidRPr="00245EB8">
        <w:rPr>
          <w:b/>
        </w:rPr>
        <w:t>support higher number of data flows with different QoS requirements.</w:t>
      </w:r>
    </w:p>
    <w:p w14:paraId="76DACE0D" w14:textId="77777777" w:rsidR="00245EB8" w:rsidRDefault="00245EB8" w:rsidP="00377921">
      <w:pPr>
        <w:pStyle w:val="Doc-text2"/>
        <w:tabs>
          <w:tab w:val="left" w:pos="340"/>
        </w:tabs>
        <w:ind w:left="0" w:firstLine="0"/>
        <w:jc w:val="both"/>
      </w:pPr>
    </w:p>
    <w:p w14:paraId="2889F6B2" w14:textId="77125894" w:rsidR="00245EB8" w:rsidRDefault="005B5EEE" w:rsidP="00BF174F">
      <w:pPr>
        <w:pStyle w:val="Doc-text2"/>
        <w:tabs>
          <w:tab w:val="left" w:pos="340"/>
        </w:tabs>
        <w:ind w:left="0" w:firstLine="0"/>
        <w:jc w:val="both"/>
      </w:pPr>
      <w:r>
        <w:lastRenderedPageBreak/>
        <w:t xml:space="preserve">Based on Observation 1, we note that providing a one-to-one mapping between data flows and DRBs can result in the UE needing to support a large number of simultaneous DRBs. </w:t>
      </w:r>
      <w:r w:rsidR="00BF174F">
        <w:t xml:space="preserve">Managing a large number of DRBs per UE is problematic for a number of reasons. Control plane (RRC) signalling is used to add, delete, and modify DRBs and supporting many </w:t>
      </w:r>
      <w:r w:rsidR="00AA02B1">
        <w:t>simultaneous</w:t>
      </w:r>
      <w:r w:rsidR="00BF174F">
        <w:t xml:space="preserve"> DRBs may result in excessive RRC signalling. </w:t>
      </w:r>
      <w:r w:rsidR="000B17FA">
        <w:t xml:space="preserve">Many data flows in NR are likely to be short lived, further exacerbating the problem of frequent establishment and tear-down of DRBs. </w:t>
      </w:r>
      <w:r w:rsidR="00BF174F">
        <w:t xml:space="preserve">The number of DRBs to be supported also impacts protocol design and operation at the MAC layer (e.g., BSR and LCP). For these reasons, </w:t>
      </w:r>
      <w:r w:rsidR="00BF174F" w:rsidRPr="00245EB8">
        <w:t>LTE supports only a small number of simultaneous DRBs (8)</w:t>
      </w:r>
      <w:r w:rsidR="00BF174F">
        <w:t xml:space="preserve">. </w:t>
      </w:r>
    </w:p>
    <w:p w14:paraId="4BDA36BA" w14:textId="77777777" w:rsidR="00245EB8" w:rsidRDefault="00245EB8" w:rsidP="00377921">
      <w:pPr>
        <w:pStyle w:val="Doc-text2"/>
        <w:tabs>
          <w:tab w:val="left" w:pos="340"/>
        </w:tabs>
        <w:ind w:left="0" w:firstLine="0"/>
        <w:jc w:val="both"/>
      </w:pPr>
    </w:p>
    <w:p w14:paraId="0D724BE0" w14:textId="77777777" w:rsidR="00245EB8" w:rsidRPr="00245EB8" w:rsidRDefault="00245EB8" w:rsidP="00377921">
      <w:pPr>
        <w:pStyle w:val="Doc-text2"/>
        <w:tabs>
          <w:tab w:val="left" w:pos="340"/>
        </w:tabs>
        <w:ind w:left="0" w:firstLine="0"/>
        <w:jc w:val="both"/>
        <w:rPr>
          <w:b/>
        </w:rPr>
      </w:pPr>
      <w:r w:rsidRPr="00245EB8">
        <w:rPr>
          <w:b/>
        </w:rPr>
        <w:t>Observation 2: A one-to-one mapping between data flows and DRBs seems impractical.</w:t>
      </w:r>
    </w:p>
    <w:p w14:paraId="716099EA" w14:textId="77777777" w:rsidR="00245EB8" w:rsidRDefault="00245EB8" w:rsidP="00377921">
      <w:pPr>
        <w:pStyle w:val="Doc-text2"/>
        <w:tabs>
          <w:tab w:val="left" w:pos="340"/>
        </w:tabs>
        <w:ind w:left="0" w:firstLine="0"/>
        <w:jc w:val="both"/>
      </w:pPr>
    </w:p>
    <w:p w14:paraId="21FD913B" w14:textId="005CFCA7" w:rsidR="00377921" w:rsidRDefault="001D4945" w:rsidP="00377921">
      <w:pPr>
        <w:pStyle w:val="Doc-text2"/>
        <w:tabs>
          <w:tab w:val="left" w:pos="340"/>
        </w:tabs>
        <w:ind w:left="0" w:firstLine="0"/>
        <w:jc w:val="both"/>
      </w:pPr>
      <w:r>
        <w:t xml:space="preserve">The logical consequence of being able to support a larger number of QoS flows than LTE, but also not having to support more number of DRBs is that </w:t>
      </w:r>
      <w:r w:rsidR="00843F85">
        <w:t xml:space="preserve">some </w:t>
      </w:r>
      <w:r>
        <w:t xml:space="preserve">data flows with different QoS </w:t>
      </w:r>
      <w:r w:rsidR="00843F85">
        <w:t xml:space="preserve">requirements </w:t>
      </w:r>
      <w:r>
        <w:t xml:space="preserve">will have to be mapped to the same DRB. </w:t>
      </w:r>
    </w:p>
    <w:p w14:paraId="17B95B94" w14:textId="77777777" w:rsidR="00245EB8" w:rsidRDefault="00245EB8" w:rsidP="00377921">
      <w:pPr>
        <w:pStyle w:val="Doc-text2"/>
        <w:tabs>
          <w:tab w:val="left" w:pos="340"/>
        </w:tabs>
        <w:ind w:left="0" w:firstLine="0"/>
        <w:jc w:val="both"/>
      </w:pPr>
    </w:p>
    <w:p w14:paraId="034C5BC6" w14:textId="2EC4D3E7" w:rsidR="00377921" w:rsidRDefault="00245EB8" w:rsidP="00B850A9">
      <w:pPr>
        <w:pStyle w:val="Doc-text2"/>
        <w:tabs>
          <w:tab w:val="left" w:pos="340"/>
        </w:tabs>
        <w:ind w:left="0" w:firstLine="0"/>
        <w:jc w:val="both"/>
        <w:rPr>
          <w:b/>
        </w:rPr>
      </w:pPr>
      <w:r w:rsidRPr="00245EB8">
        <w:rPr>
          <w:b/>
        </w:rPr>
        <w:t>Observation 3: In order to limit the number of simultaneous DRBs that a UE can support, it be</w:t>
      </w:r>
      <w:r w:rsidR="00CD2AB9">
        <w:rPr>
          <w:b/>
        </w:rPr>
        <w:t xml:space="preserve">comes necessary to map </w:t>
      </w:r>
      <w:r w:rsidRPr="00245EB8">
        <w:rPr>
          <w:b/>
        </w:rPr>
        <w:t xml:space="preserve">flows with </w:t>
      </w:r>
      <w:r w:rsidR="00AA02B1" w:rsidRPr="00245EB8">
        <w:rPr>
          <w:b/>
        </w:rPr>
        <w:t>different</w:t>
      </w:r>
      <w:r w:rsidRPr="00245EB8">
        <w:rPr>
          <w:b/>
        </w:rPr>
        <w:t xml:space="preserve"> QoS requirements into the same DRB.</w:t>
      </w:r>
    </w:p>
    <w:p w14:paraId="6BAB6AB9" w14:textId="77777777" w:rsidR="00B850A9" w:rsidRPr="00B850A9" w:rsidRDefault="00B850A9" w:rsidP="00B850A9">
      <w:pPr>
        <w:pStyle w:val="Doc-text2"/>
        <w:tabs>
          <w:tab w:val="left" w:pos="340"/>
        </w:tabs>
        <w:ind w:left="0" w:firstLine="0"/>
        <w:jc w:val="both"/>
        <w:rPr>
          <w:b/>
        </w:rPr>
      </w:pPr>
    </w:p>
    <w:p w14:paraId="37FB6EBB" w14:textId="439BC9BA" w:rsidR="00A92D2C" w:rsidRDefault="007F1217" w:rsidP="0092211C">
      <w:pPr>
        <w:rPr>
          <w:rFonts w:ascii="Arial" w:eastAsia="MS Mincho" w:hAnsi="Arial"/>
          <w:szCs w:val="24"/>
        </w:rPr>
      </w:pPr>
      <w:r>
        <w:rPr>
          <w:rFonts w:ascii="Arial" w:eastAsia="MS Mincho" w:hAnsi="Arial"/>
          <w:szCs w:val="24"/>
        </w:rPr>
        <w:t>We think that such differentiation needs to be provided at the highest layer of the UP protocol stack (e.g., PDCP). Accordingly, we propose that a new field be used to enable sub-bearer QoS differentiation.</w:t>
      </w:r>
    </w:p>
    <w:p w14:paraId="20BA2691" w14:textId="13A58007" w:rsidR="00245EB8" w:rsidRDefault="007F1217" w:rsidP="0092211C">
      <w:pPr>
        <w:rPr>
          <w:rFonts w:ascii="Arial" w:eastAsia="MS Mincho" w:hAnsi="Arial"/>
          <w:b/>
          <w:szCs w:val="24"/>
        </w:rPr>
      </w:pPr>
      <w:r>
        <w:rPr>
          <w:rFonts w:ascii="Arial" w:eastAsia="MS Mincho" w:hAnsi="Arial"/>
          <w:b/>
          <w:szCs w:val="24"/>
        </w:rPr>
        <w:t>Proposal 3</w:t>
      </w:r>
      <w:r w:rsidR="00CD2AB9">
        <w:rPr>
          <w:rFonts w:ascii="Arial" w:eastAsia="MS Mincho" w:hAnsi="Arial"/>
          <w:b/>
          <w:szCs w:val="24"/>
        </w:rPr>
        <w:t xml:space="preserve">: A new </w:t>
      </w:r>
      <w:r w:rsidR="00245EB8" w:rsidRPr="00245EB8">
        <w:rPr>
          <w:rFonts w:ascii="Arial" w:eastAsia="MS Mincho" w:hAnsi="Arial"/>
          <w:b/>
          <w:szCs w:val="24"/>
        </w:rPr>
        <w:t>field be introduced in the highest layer of NR UP to identify sub-bearer QoS class</w:t>
      </w:r>
    </w:p>
    <w:p w14:paraId="03DED3D1" w14:textId="4F2D4ABC" w:rsidR="007F1217" w:rsidRPr="007F1217" w:rsidRDefault="007F1217" w:rsidP="0092211C">
      <w:pPr>
        <w:rPr>
          <w:rFonts w:ascii="Arial" w:eastAsia="MS Mincho" w:hAnsi="Arial"/>
          <w:szCs w:val="24"/>
        </w:rPr>
      </w:pPr>
      <w:r>
        <w:rPr>
          <w:rFonts w:ascii="Arial" w:eastAsia="MS Mincho" w:hAnsi="Arial"/>
          <w:szCs w:val="24"/>
        </w:rPr>
        <w:t xml:space="preserve">Our objective in proposing the use of sub-bearer QoS class </w:t>
      </w:r>
      <w:r w:rsidR="00CD2AB9">
        <w:rPr>
          <w:rFonts w:ascii="Arial" w:eastAsia="MS Mincho" w:hAnsi="Arial"/>
          <w:szCs w:val="24"/>
        </w:rPr>
        <w:t xml:space="preserve">tagging </w:t>
      </w:r>
      <w:r>
        <w:rPr>
          <w:rFonts w:ascii="Arial" w:eastAsia="MS Mincho" w:hAnsi="Arial"/>
          <w:szCs w:val="24"/>
        </w:rPr>
        <w:t>is to reduce the burden on control plane signalling and instead rely on user plane enhancements. However the details of how such tagging impacts user plane procedures (e.g., use of PDCP SN space, LCP, and BSR) warrants further study.</w:t>
      </w:r>
    </w:p>
    <w:p w14:paraId="13167207" w14:textId="6E775799" w:rsidR="00377921" w:rsidRPr="00BF174F" w:rsidRDefault="007F1217" w:rsidP="0092211C">
      <w:pPr>
        <w:rPr>
          <w:rFonts w:ascii="Arial" w:eastAsia="MS Mincho" w:hAnsi="Arial"/>
          <w:b/>
          <w:szCs w:val="24"/>
        </w:rPr>
      </w:pPr>
      <w:r>
        <w:rPr>
          <w:rFonts w:ascii="Arial" w:eastAsia="MS Mincho" w:hAnsi="Arial"/>
          <w:b/>
          <w:szCs w:val="24"/>
        </w:rPr>
        <w:t>Proposal 4</w:t>
      </w:r>
      <w:r w:rsidR="00245EB8">
        <w:rPr>
          <w:rFonts w:ascii="Arial" w:eastAsia="MS Mincho" w:hAnsi="Arial"/>
          <w:b/>
          <w:szCs w:val="24"/>
        </w:rPr>
        <w:t xml:space="preserve">: RAN2 to further study the impact of introducing sub-bearer QoS </w:t>
      </w:r>
      <w:r>
        <w:rPr>
          <w:rFonts w:ascii="Arial" w:eastAsia="MS Mincho" w:hAnsi="Arial"/>
          <w:b/>
          <w:szCs w:val="24"/>
        </w:rPr>
        <w:t>differentiation on PDCP SN</w:t>
      </w:r>
      <w:r w:rsidR="00245EB8">
        <w:rPr>
          <w:rFonts w:ascii="Arial" w:eastAsia="MS Mincho" w:hAnsi="Arial"/>
          <w:b/>
          <w:szCs w:val="24"/>
        </w:rPr>
        <w:t xml:space="preserve"> space, LCP, and BSR.</w:t>
      </w:r>
      <w:r w:rsidR="00BF174F" w:rsidRPr="00245EB8">
        <w:rPr>
          <w:rFonts w:ascii="Arial" w:eastAsia="MS Mincho" w:hAnsi="Arial"/>
          <w:b/>
          <w:szCs w:val="24"/>
        </w:rPr>
        <w:t xml:space="preserve"> </w:t>
      </w:r>
    </w:p>
    <w:p w14:paraId="3D8D185F" w14:textId="77777777"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14:paraId="68ECDB16" w14:textId="49EDF26B"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w:t>
      </w:r>
      <w:r w:rsidR="005E1BFF">
        <w:rPr>
          <w:rFonts w:ascii="Arial" w:eastAsia="MS Mincho" w:hAnsi="Arial"/>
          <w:szCs w:val="24"/>
        </w:rPr>
        <w:t>some issues related to provisioning QoS in NR UP. Our observations and proposals are summarized below.</w:t>
      </w:r>
    </w:p>
    <w:p w14:paraId="31EA163A" w14:textId="77777777" w:rsidR="005E1BFF" w:rsidRPr="00245EB8" w:rsidRDefault="005E1BFF" w:rsidP="005E1BFF">
      <w:pPr>
        <w:pStyle w:val="Doc-text2"/>
        <w:tabs>
          <w:tab w:val="left" w:pos="340"/>
        </w:tabs>
        <w:ind w:left="0" w:firstLine="0"/>
        <w:jc w:val="both"/>
        <w:rPr>
          <w:b/>
        </w:rPr>
      </w:pPr>
      <w:r>
        <w:rPr>
          <w:b/>
        </w:rPr>
        <w:t>Proposal 1: Data f</w:t>
      </w:r>
      <w:r w:rsidRPr="00245EB8">
        <w:rPr>
          <w:b/>
        </w:rPr>
        <w:t>lows with similar QoS requirements are mapped to the same DRB.</w:t>
      </w:r>
    </w:p>
    <w:p w14:paraId="7648DDD4" w14:textId="77777777" w:rsidR="005E1BFF" w:rsidRDefault="005E1BFF" w:rsidP="005E1BFF">
      <w:pPr>
        <w:pStyle w:val="Doc-text2"/>
        <w:tabs>
          <w:tab w:val="left" w:pos="340"/>
        </w:tabs>
        <w:ind w:left="0" w:firstLine="0"/>
        <w:jc w:val="both"/>
      </w:pPr>
    </w:p>
    <w:p w14:paraId="6472FA5C" w14:textId="079F8D7B" w:rsidR="005E1BFF" w:rsidRDefault="005E1BFF" w:rsidP="005E1BFF">
      <w:pPr>
        <w:pStyle w:val="Doc-text2"/>
        <w:tabs>
          <w:tab w:val="left" w:pos="340"/>
        </w:tabs>
        <w:ind w:left="0" w:firstLine="0"/>
        <w:jc w:val="both"/>
        <w:rPr>
          <w:b/>
        </w:rPr>
      </w:pPr>
      <w:r w:rsidRPr="00245EB8">
        <w:rPr>
          <w:b/>
        </w:rPr>
        <w:t>P</w:t>
      </w:r>
      <w:r>
        <w:rPr>
          <w:b/>
        </w:rPr>
        <w:t>roposal 2</w:t>
      </w:r>
      <w:r w:rsidRPr="00245EB8">
        <w:rPr>
          <w:b/>
        </w:rPr>
        <w:t xml:space="preserve">: Data from </w:t>
      </w:r>
      <w:r w:rsidR="00550E3D" w:rsidRPr="00245EB8">
        <w:rPr>
          <w:b/>
        </w:rPr>
        <w:t xml:space="preserve">different </w:t>
      </w:r>
      <w:r w:rsidR="00550E3D">
        <w:rPr>
          <w:b/>
        </w:rPr>
        <w:t>PDN connections</w:t>
      </w:r>
      <w:r w:rsidR="00550E3D" w:rsidRPr="00245EB8">
        <w:rPr>
          <w:b/>
        </w:rPr>
        <w:t xml:space="preserve"> </w:t>
      </w:r>
      <w:r w:rsidRPr="00245EB8">
        <w:rPr>
          <w:b/>
        </w:rPr>
        <w:t xml:space="preserve">should be assigned </w:t>
      </w:r>
      <w:r>
        <w:rPr>
          <w:b/>
        </w:rPr>
        <w:t xml:space="preserve">to </w:t>
      </w:r>
      <w:r w:rsidRPr="00245EB8">
        <w:rPr>
          <w:b/>
        </w:rPr>
        <w:t>different DRBs</w:t>
      </w:r>
    </w:p>
    <w:p w14:paraId="7A3E10BD" w14:textId="77777777" w:rsidR="005E1BFF" w:rsidRDefault="005E1BFF" w:rsidP="005E1BFF">
      <w:pPr>
        <w:pStyle w:val="Doc-text2"/>
        <w:tabs>
          <w:tab w:val="left" w:pos="340"/>
        </w:tabs>
        <w:ind w:left="0" w:firstLine="0"/>
        <w:jc w:val="both"/>
      </w:pPr>
    </w:p>
    <w:p w14:paraId="3A15220A" w14:textId="77777777" w:rsidR="005E1BFF" w:rsidRPr="00245EB8" w:rsidRDefault="005E1BFF" w:rsidP="005E1BFF">
      <w:pPr>
        <w:pStyle w:val="Doc-text2"/>
        <w:tabs>
          <w:tab w:val="left" w:pos="340"/>
        </w:tabs>
        <w:ind w:left="0" w:firstLine="0"/>
        <w:jc w:val="both"/>
        <w:rPr>
          <w:b/>
        </w:rPr>
      </w:pPr>
      <w:r w:rsidRPr="00245EB8">
        <w:rPr>
          <w:b/>
        </w:rPr>
        <w:t xml:space="preserve">Observation 1: NR will </w:t>
      </w:r>
      <w:r>
        <w:rPr>
          <w:b/>
        </w:rPr>
        <w:t xml:space="preserve">likely </w:t>
      </w:r>
      <w:r w:rsidRPr="00245EB8">
        <w:rPr>
          <w:b/>
        </w:rPr>
        <w:t xml:space="preserve">require the UE to </w:t>
      </w:r>
      <w:r>
        <w:rPr>
          <w:b/>
        </w:rPr>
        <w:t xml:space="preserve">simultaneously </w:t>
      </w:r>
      <w:r w:rsidRPr="00245EB8">
        <w:rPr>
          <w:b/>
        </w:rPr>
        <w:t>support higher number of data flows with different QoS requirements.</w:t>
      </w:r>
    </w:p>
    <w:p w14:paraId="57C7AB61" w14:textId="77777777" w:rsidR="005E1BFF" w:rsidRDefault="005E1BFF" w:rsidP="005E1BFF">
      <w:pPr>
        <w:pStyle w:val="Doc-text2"/>
        <w:tabs>
          <w:tab w:val="left" w:pos="340"/>
        </w:tabs>
        <w:ind w:left="0" w:firstLine="0"/>
        <w:jc w:val="both"/>
      </w:pPr>
    </w:p>
    <w:p w14:paraId="45D36F11" w14:textId="77777777" w:rsidR="005E1BFF" w:rsidRPr="00245EB8" w:rsidRDefault="005E1BFF" w:rsidP="005E1BFF">
      <w:pPr>
        <w:pStyle w:val="Doc-text2"/>
        <w:tabs>
          <w:tab w:val="left" w:pos="340"/>
        </w:tabs>
        <w:ind w:left="0" w:firstLine="0"/>
        <w:jc w:val="both"/>
        <w:rPr>
          <w:b/>
        </w:rPr>
      </w:pPr>
      <w:r w:rsidRPr="00245EB8">
        <w:rPr>
          <w:b/>
        </w:rPr>
        <w:t>Observation 2: A one-to-one mapping between data flows and DRBs seems impractical.</w:t>
      </w:r>
    </w:p>
    <w:p w14:paraId="5B58A7A1" w14:textId="77777777" w:rsidR="005E1BFF" w:rsidRDefault="005E1BFF" w:rsidP="005E1BFF">
      <w:pPr>
        <w:pStyle w:val="Doc-text2"/>
        <w:tabs>
          <w:tab w:val="left" w:pos="340"/>
        </w:tabs>
        <w:ind w:left="0" w:firstLine="0"/>
        <w:jc w:val="both"/>
      </w:pPr>
    </w:p>
    <w:p w14:paraId="209749B7" w14:textId="77A8A097" w:rsidR="005E1BFF" w:rsidRDefault="005E1BFF" w:rsidP="005E1BFF">
      <w:pPr>
        <w:pStyle w:val="Doc-text2"/>
        <w:tabs>
          <w:tab w:val="left" w:pos="340"/>
        </w:tabs>
        <w:ind w:left="0" w:firstLine="0"/>
        <w:jc w:val="both"/>
        <w:rPr>
          <w:b/>
        </w:rPr>
      </w:pPr>
      <w:r w:rsidRPr="00245EB8">
        <w:rPr>
          <w:b/>
        </w:rPr>
        <w:t>Observation 3: In order to limit the number of simultaneous DRBs that a UE can support, it be</w:t>
      </w:r>
      <w:r w:rsidR="00CD2AB9">
        <w:rPr>
          <w:b/>
        </w:rPr>
        <w:t xml:space="preserve">comes necessary to map </w:t>
      </w:r>
      <w:r w:rsidRPr="00245EB8">
        <w:rPr>
          <w:b/>
        </w:rPr>
        <w:t xml:space="preserve">flows with </w:t>
      </w:r>
      <w:r w:rsidR="00AA02B1" w:rsidRPr="00245EB8">
        <w:rPr>
          <w:b/>
        </w:rPr>
        <w:t>different</w:t>
      </w:r>
      <w:r w:rsidRPr="00245EB8">
        <w:rPr>
          <w:b/>
        </w:rPr>
        <w:t xml:space="preserve"> QoS requirements into the same DRB.</w:t>
      </w:r>
    </w:p>
    <w:p w14:paraId="74D366DD" w14:textId="77777777" w:rsidR="005E1BFF" w:rsidRPr="00245EB8" w:rsidRDefault="005E1BFF" w:rsidP="005E1BFF">
      <w:pPr>
        <w:pStyle w:val="Doc-text2"/>
        <w:tabs>
          <w:tab w:val="left" w:pos="340"/>
        </w:tabs>
        <w:ind w:left="0" w:firstLine="0"/>
        <w:jc w:val="both"/>
        <w:rPr>
          <w:b/>
        </w:rPr>
      </w:pPr>
    </w:p>
    <w:p w14:paraId="75628601" w14:textId="5EAFA82A" w:rsidR="005E1BFF" w:rsidRDefault="005E1BFF" w:rsidP="005E1BFF">
      <w:pPr>
        <w:rPr>
          <w:rFonts w:ascii="Arial" w:eastAsia="MS Mincho" w:hAnsi="Arial"/>
          <w:b/>
          <w:szCs w:val="24"/>
        </w:rPr>
      </w:pPr>
      <w:r>
        <w:rPr>
          <w:rFonts w:ascii="Arial" w:eastAsia="MS Mincho" w:hAnsi="Arial"/>
          <w:b/>
          <w:szCs w:val="24"/>
        </w:rPr>
        <w:t>Proposal 3</w:t>
      </w:r>
      <w:r w:rsidR="00CD2AB9">
        <w:rPr>
          <w:rFonts w:ascii="Arial" w:eastAsia="MS Mincho" w:hAnsi="Arial"/>
          <w:b/>
          <w:szCs w:val="24"/>
        </w:rPr>
        <w:t>: A new</w:t>
      </w:r>
      <w:r w:rsidRPr="00245EB8">
        <w:rPr>
          <w:rFonts w:ascii="Arial" w:eastAsia="MS Mincho" w:hAnsi="Arial"/>
          <w:b/>
          <w:szCs w:val="24"/>
        </w:rPr>
        <w:t xml:space="preserve"> field be introduced in the highest layer of NR UP to identify sub-bearer QoS class</w:t>
      </w:r>
    </w:p>
    <w:p w14:paraId="3F8C81D3" w14:textId="77777777" w:rsidR="005E1BFF" w:rsidRPr="00BF174F" w:rsidRDefault="005E1BFF" w:rsidP="005E1BFF">
      <w:pPr>
        <w:rPr>
          <w:rFonts w:ascii="Arial" w:eastAsia="MS Mincho" w:hAnsi="Arial"/>
          <w:b/>
          <w:szCs w:val="24"/>
        </w:rPr>
      </w:pPr>
      <w:r>
        <w:rPr>
          <w:rFonts w:ascii="Arial" w:eastAsia="MS Mincho" w:hAnsi="Arial"/>
          <w:b/>
          <w:szCs w:val="24"/>
        </w:rPr>
        <w:t>Proposal 4: RAN2 to further study the impact of introducing sub-bearer QoS differentiation on PDCP SN space, LCP, and BSR.</w:t>
      </w:r>
      <w:r w:rsidRPr="00245EB8">
        <w:rPr>
          <w:rFonts w:ascii="Arial" w:eastAsia="MS Mincho" w:hAnsi="Arial"/>
          <w:b/>
          <w:szCs w:val="24"/>
        </w:rPr>
        <w:t xml:space="preserve"> </w:t>
      </w:r>
    </w:p>
    <w:p w14:paraId="173B442A" w14:textId="77777777"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14:paraId="57B2BD13" w14:textId="03C14195" w:rsidR="007F12B1" w:rsidRDefault="00710B55" w:rsidP="00561ACD">
      <w:pPr>
        <w:pStyle w:val="ListParagraph"/>
        <w:numPr>
          <w:ilvl w:val="0"/>
          <w:numId w:val="21"/>
        </w:numPr>
        <w:spacing w:after="60"/>
        <w:rPr>
          <w:rFonts w:ascii="Arial" w:hAnsi="Arial" w:cs="Arial"/>
          <w:sz w:val="20"/>
          <w:szCs w:val="20"/>
          <w:lang w:eastAsia="ko-KR"/>
        </w:rPr>
      </w:pPr>
      <w:bookmarkStart w:id="3" w:name="_Ref462847283"/>
      <w:r>
        <w:rPr>
          <w:rFonts w:ascii="Arial" w:hAnsi="Arial" w:cs="Arial"/>
          <w:sz w:val="20"/>
          <w:szCs w:val="20"/>
          <w:lang w:eastAsia="ko-KR"/>
        </w:rPr>
        <w:t>3GPP TR 23.799, V1.0.0, Study on architecture for next generation system</w:t>
      </w:r>
      <w:bookmarkEnd w:id="3"/>
    </w:p>
    <w:sectPr w:rsidR="007F12B1"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2A6E1" w14:textId="77777777" w:rsidR="00A106B6" w:rsidRDefault="00A106B6">
      <w:r>
        <w:separator/>
      </w:r>
    </w:p>
  </w:endnote>
  <w:endnote w:type="continuationSeparator" w:id="0">
    <w:p w14:paraId="1A672CDC" w14:textId="77777777" w:rsidR="00A106B6" w:rsidRDefault="00A1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B964C" w14:textId="77777777" w:rsidR="00D81A47" w:rsidRDefault="00D81A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76A3B" w14:textId="77777777" w:rsidR="00D81A47" w:rsidRDefault="00D81A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6D98" w14:textId="77777777" w:rsidR="00D81A47" w:rsidRDefault="00D81A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701A0" w14:textId="77777777" w:rsidR="00A106B6" w:rsidRDefault="00A106B6">
      <w:r>
        <w:separator/>
      </w:r>
    </w:p>
  </w:footnote>
  <w:footnote w:type="continuationSeparator" w:id="0">
    <w:p w14:paraId="52769D92" w14:textId="77777777" w:rsidR="00A106B6" w:rsidRDefault="00A10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184FC" w14:textId="77777777" w:rsidR="00D81A47" w:rsidRDefault="00D81A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80D23" w14:textId="77777777" w:rsidR="00D81A47" w:rsidRDefault="00D81A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9D512" w14:textId="77777777" w:rsidR="00D81A47" w:rsidRDefault="00D81A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4"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8"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4"/>
  </w:num>
  <w:num w:numId="3">
    <w:abstractNumId w:val="15"/>
  </w:num>
  <w:num w:numId="4">
    <w:abstractNumId w:val="7"/>
  </w:num>
  <w:num w:numId="5">
    <w:abstractNumId w:val="38"/>
  </w:num>
  <w:num w:numId="6">
    <w:abstractNumId w:val="25"/>
  </w:num>
  <w:num w:numId="7">
    <w:abstractNumId w:val="22"/>
  </w:num>
  <w:num w:numId="8">
    <w:abstractNumId w:val="10"/>
  </w:num>
  <w:num w:numId="9">
    <w:abstractNumId w:val="29"/>
  </w:num>
  <w:num w:numId="10">
    <w:abstractNumId w:val="11"/>
  </w:num>
  <w:num w:numId="11">
    <w:abstractNumId w:val="4"/>
  </w:num>
  <w:num w:numId="12">
    <w:abstractNumId w:val="3"/>
  </w:num>
  <w:num w:numId="13">
    <w:abstractNumId w:val="30"/>
  </w:num>
  <w:num w:numId="14">
    <w:abstractNumId w:val="32"/>
  </w:num>
  <w:num w:numId="15">
    <w:abstractNumId w:val="12"/>
  </w:num>
  <w:num w:numId="16">
    <w:abstractNumId w:val="35"/>
  </w:num>
  <w:num w:numId="17">
    <w:abstractNumId w:val="20"/>
  </w:num>
  <w:num w:numId="18">
    <w:abstractNumId w:val="36"/>
  </w:num>
  <w:num w:numId="19">
    <w:abstractNumId w:val="33"/>
  </w:num>
  <w:num w:numId="20">
    <w:abstractNumId w:val="16"/>
  </w:num>
  <w:num w:numId="21">
    <w:abstractNumId w:val="0"/>
  </w:num>
  <w:num w:numId="22">
    <w:abstractNumId w:val="21"/>
  </w:num>
  <w:num w:numId="23">
    <w:abstractNumId w:val="8"/>
  </w:num>
  <w:num w:numId="24">
    <w:abstractNumId w:val="17"/>
  </w:num>
  <w:num w:numId="25">
    <w:abstractNumId w:val="2"/>
  </w:num>
  <w:num w:numId="26">
    <w:abstractNumId w:val="23"/>
  </w:num>
  <w:num w:numId="27">
    <w:abstractNumId w:val="37"/>
  </w:num>
  <w:num w:numId="28">
    <w:abstractNumId w:val="24"/>
  </w:num>
  <w:num w:numId="29">
    <w:abstractNumId w:val="31"/>
  </w:num>
  <w:num w:numId="30">
    <w:abstractNumId w:val="28"/>
  </w:num>
  <w:num w:numId="31">
    <w:abstractNumId w:val="19"/>
  </w:num>
  <w:num w:numId="32">
    <w:abstractNumId w:val="14"/>
  </w:num>
  <w:num w:numId="33">
    <w:abstractNumId w:val="26"/>
  </w:num>
  <w:num w:numId="34">
    <w:abstractNumId w:val="13"/>
  </w:num>
  <w:num w:numId="35">
    <w:abstractNumId w:val="6"/>
  </w:num>
  <w:num w:numId="36">
    <w:abstractNumId w:val="1"/>
  </w:num>
  <w:num w:numId="37">
    <w:abstractNumId w:val="27"/>
  </w:num>
  <w:num w:numId="38">
    <w:abstractNumId w:val="5"/>
  </w:num>
  <w:num w:numId="3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17FA"/>
    <w:rsid w:val="000B3BFD"/>
    <w:rsid w:val="000B4201"/>
    <w:rsid w:val="000B5AE5"/>
    <w:rsid w:val="000B63E7"/>
    <w:rsid w:val="000B71CD"/>
    <w:rsid w:val="000C00BC"/>
    <w:rsid w:val="000C0FCB"/>
    <w:rsid w:val="000C2021"/>
    <w:rsid w:val="000C372D"/>
    <w:rsid w:val="000C39A0"/>
    <w:rsid w:val="000C4614"/>
    <w:rsid w:val="000C47E2"/>
    <w:rsid w:val="000C4AD7"/>
    <w:rsid w:val="000C5C9F"/>
    <w:rsid w:val="000C6598"/>
    <w:rsid w:val="000C6BFC"/>
    <w:rsid w:val="000C6E8D"/>
    <w:rsid w:val="000C7C43"/>
    <w:rsid w:val="000D0AA6"/>
    <w:rsid w:val="000D0EAD"/>
    <w:rsid w:val="000D2258"/>
    <w:rsid w:val="000D2497"/>
    <w:rsid w:val="000D2743"/>
    <w:rsid w:val="000D2854"/>
    <w:rsid w:val="000D2D16"/>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5D7"/>
    <w:rsid w:val="00156A1A"/>
    <w:rsid w:val="00156DB3"/>
    <w:rsid w:val="001573F9"/>
    <w:rsid w:val="00157560"/>
    <w:rsid w:val="00163241"/>
    <w:rsid w:val="0016427F"/>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4945"/>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C43"/>
    <w:rsid w:val="001F63E0"/>
    <w:rsid w:val="001F7559"/>
    <w:rsid w:val="001F7C6C"/>
    <w:rsid w:val="002000A7"/>
    <w:rsid w:val="00200246"/>
    <w:rsid w:val="00200270"/>
    <w:rsid w:val="0020113E"/>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2F3"/>
    <w:rsid w:val="00242C69"/>
    <w:rsid w:val="00243F66"/>
    <w:rsid w:val="002446BD"/>
    <w:rsid w:val="00245EB8"/>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2C75"/>
    <w:rsid w:val="002E3C1B"/>
    <w:rsid w:val="002E3C6E"/>
    <w:rsid w:val="002E4480"/>
    <w:rsid w:val="002E51FD"/>
    <w:rsid w:val="002E72E7"/>
    <w:rsid w:val="002E7A1E"/>
    <w:rsid w:val="002F0253"/>
    <w:rsid w:val="002F0969"/>
    <w:rsid w:val="002F1DE6"/>
    <w:rsid w:val="002F2F00"/>
    <w:rsid w:val="002F3F09"/>
    <w:rsid w:val="002F5E12"/>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497"/>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1"/>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3A"/>
    <w:rsid w:val="003C6246"/>
    <w:rsid w:val="003D07D5"/>
    <w:rsid w:val="003D21E0"/>
    <w:rsid w:val="003D2A05"/>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07F"/>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0C69"/>
    <w:rsid w:val="004929B0"/>
    <w:rsid w:val="004937CD"/>
    <w:rsid w:val="00494271"/>
    <w:rsid w:val="004946CB"/>
    <w:rsid w:val="00494FD0"/>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3F37"/>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0E3D"/>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ADC"/>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48F"/>
    <w:rsid w:val="005A4A8D"/>
    <w:rsid w:val="005A5CA8"/>
    <w:rsid w:val="005A5DE3"/>
    <w:rsid w:val="005A6086"/>
    <w:rsid w:val="005A6BCC"/>
    <w:rsid w:val="005A6F84"/>
    <w:rsid w:val="005B002B"/>
    <w:rsid w:val="005B0101"/>
    <w:rsid w:val="005B04EE"/>
    <w:rsid w:val="005B0B0B"/>
    <w:rsid w:val="005B3348"/>
    <w:rsid w:val="005B4013"/>
    <w:rsid w:val="005B460E"/>
    <w:rsid w:val="005B577A"/>
    <w:rsid w:val="005B58B9"/>
    <w:rsid w:val="005B5EEE"/>
    <w:rsid w:val="005B6C54"/>
    <w:rsid w:val="005B72F3"/>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1BFF"/>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5F7D19"/>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1B7E"/>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9FF"/>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89B"/>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5B1"/>
    <w:rsid w:val="00707E49"/>
    <w:rsid w:val="00710AF0"/>
    <w:rsid w:val="00710B55"/>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033"/>
    <w:rsid w:val="0075613A"/>
    <w:rsid w:val="0075711F"/>
    <w:rsid w:val="007577A6"/>
    <w:rsid w:val="00760095"/>
    <w:rsid w:val="007608F9"/>
    <w:rsid w:val="007622F5"/>
    <w:rsid w:val="0076274E"/>
    <w:rsid w:val="00765A0B"/>
    <w:rsid w:val="00765F08"/>
    <w:rsid w:val="00766C48"/>
    <w:rsid w:val="00767088"/>
    <w:rsid w:val="0077029E"/>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22C4"/>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697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313B"/>
    <w:rsid w:val="007E3F84"/>
    <w:rsid w:val="007E4B30"/>
    <w:rsid w:val="007E5E44"/>
    <w:rsid w:val="007E64EC"/>
    <w:rsid w:val="007F086E"/>
    <w:rsid w:val="007F1217"/>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3F85"/>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00FA"/>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3E29"/>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6E46"/>
    <w:rsid w:val="009A7265"/>
    <w:rsid w:val="009A7BDB"/>
    <w:rsid w:val="009A7CCE"/>
    <w:rsid w:val="009B1DD0"/>
    <w:rsid w:val="009B29B4"/>
    <w:rsid w:val="009B2A45"/>
    <w:rsid w:val="009B3D08"/>
    <w:rsid w:val="009B4044"/>
    <w:rsid w:val="009B4D0A"/>
    <w:rsid w:val="009B6ECF"/>
    <w:rsid w:val="009C0630"/>
    <w:rsid w:val="009C0E62"/>
    <w:rsid w:val="009C106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9A7"/>
    <w:rsid w:val="009F22C4"/>
    <w:rsid w:val="009F2EA4"/>
    <w:rsid w:val="009F701B"/>
    <w:rsid w:val="00A005AA"/>
    <w:rsid w:val="00A00A37"/>
    <w:rsid w:val="00A024CC"/>
    <w:rsid w:val="00A04298"/>
    <w:rsid w:val="00A0504A"/>
    <w:rsid w:val="00A051DE"/>
    <w:rsid w:val="00A05A51"/>
    <w:rsid w:val="00A0669C"/>
    <w:rsid w:val="00A07159"/>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0A2A"/>
    <w:rsid w:val="00A92401"/>
    <w:rsid w:val="00A92D2C"/>
    <w:rsid w:val="00A936CB"/>
    <w:rsid w:val="00A93A24"/>
    <w:rsid w:val="00A95728"/>
    <w:rsid w:val="00A96024"/>
    <w:rsid w:val="00A963A4"/>
    <w:rsid w:val="00A9641D"/>
    <w:rsid w:val="00A96F4B"/>
    <w:rsid w:val="00A97F47"/>
    <w:rsid w:val="00AA02B1"/>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35B"/>
    <w:rsid w:val="00AF1FAF"/>
    <w:rsid w:val="00AF4E16"/>
    <w:rsid w:val="00AF4FEA"/>
    <w:rsid w:val="00AF564E"/>
    <w:rsid w:val="00AF58DD"/>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75E"/>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9A1"/>
    <w:rsid w:val="00B32FFD"/>
    <w:rsid w:val="00B33ADA"/>
    <w:rsid w:val="00B33EFD"/>
    <w:rsid w:val="00B342DA"/>
    <w:rsid w:val="00B36C7C"/>
    <w:rsid w:val="00B40474"/>
    <w:rsid w:val="00B40C58"/>
    <w:rsid w:val="00B43B2A"/>
    <w:rsid w:val="00B43CE5"/>
    <w:rsid w:val="00B44EA5"/>
    <w:rsid w:val="00B455AD"/>
    <w:rsid w:val="00B456D9"/>
    <w:rsid w:val="00B458EC"/>
    <w:rsid w:val="00B45A40"/>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156"/>
    <w:rsid w:val="00B63655"/>
    <w:rsid w:val="00B640A0"/>
    <w:rsid w:val="00B64799"/>
    <w:rsid w:val="00B64995"/>
    <w:rsid w:val="00B702B5"/>
    <w:rsid w:val="00B73271"/>
    <w:rsid w:val="00B7336C"/>
    <w:rsid w:val="00B7554E"/>
    <w:rsid w:val="00B75C5E"/>
    <w:rsid w:val="00B76647"/>
    <w:rsid w:val="00B769AB"/>
    <w:rsid w:val="00B77285"/>
    <w:rsid w:val="00B772FE"/>
    <w:rsid w:val="00B77827"/>
    <w:rsid w:val="00B8042E"/>
    <w:rsid w:val="00B81D26"/>
    <w:rsid w:val="00B82348"/>
    <w:rsid w:val="00B848FF"/>
    <w:rsid w:val="00B85082"/>
    <w:rsid w:val="00B850A9"/>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F08A6"/>
    <w:rsid w:val="00BF1355"/>
    <w:rsid w:val="00BF174F"/>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4C0F"/>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36B"/>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2AB9"/>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0BDA"/>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153"/>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67E9"/>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1A47"/>
    <w:rsid w:val="00D845F3"/>
    <w:rsid w:val="00D87131"/>
    <w:rsid w:val="00D8737F"/>
    <w:rsid w:val="00D875C5"/>
    <w:rsid w:val="00D9216F"/>
    <w:rsid w:val="00D921CC"/>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5FC2"/>
    <w:rsid w:val="00DD6FE3"/>
    <w:rsid w:val="00DE0794"/>
    <w:rsid w:val="00DE099B"/>
    <w:rsid w:val="00DE132E"/>
    <w:rsid w:val="00DE234B"/>
    <w:rsid w:val="00DE2F70"/>
    <w:rsid w:val="00DE3D29"/>
    <w:rsid w:val="00DE432F"/>
    <w:rsid w:val="00DE4D46"/>
    <w:rsid w:val="00DE5419"/>
    <w:rsid w:val="00DE5698"/>
    <w:rsid w:val="00DE5EA8"/>
    <w:rsid w:val="00DE6B96"/>
    <w:rsid w:val="00DE7748"/>
    <w:rsid w:val="00DF128A"/>
    <w:rsid w:val="00DF1704"/>
    <w:rsid w:val="00DF1AFC"/>
    <w:rsid w:val="00DF221B"/>
    <w:rsid w:val="00DF2306"/>
    <w:rsid w:val="00DF2DF8"/>
    <w:rsid w:val="00DF5C33"/>
    <w:rsid w:val="00DF7125"/>
    <w:rsid w:val="00E015DC"/>
    <w:rsid w:val="00E017C8"/>
    <w:rsid w:val="00E02D29"/>
    <w:rsid w:val="00E032E7"/>
    <w:rsid w:val="00E034F1"/>
    <w:rsid w:val="00E035DD"/>
    <w:rsid w:val="00E0454C"/>
    <w:rsid w:val="00E047B2"/>
    <w:rsid w:val="00E06808"/>
    <w:rsid w:val="00E07AF5"/>
    <w:rsid w:val="00E1053F"/>
    <w:rsid w:val="00E1058D"/>
    <w:rsid w:val="00E1082E"/>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43D9"/>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597C"/>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3F03"/>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v:textbox inset="5.85pt,.7pt,5.85pt,.7pt"/>
    </o:shapedefaults>
    <o:shapelayout v:ext="edit">
      <o:idmap v:ext="edit" data="1"/>
    </o:shapelayout>
  </w:shapeDefaults>
  <w:decimalSymbol w:val="."/>
  <w:listSeparator w:val=","/>
  <w14:docId w14:val="21F5F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1103</Words>
  <Characters>5496</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2016-09-30T23:46:00Z</dcterms:created>
  <dcterms:modified xsi:type="dcterms:W3CDTF">2016-10-01T00:04:00Z</dcterms:modified>
</cp:coreProperties>
</file>